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6C" w:rsidRPr="009C396C" w:rsidRDefault="009C396C" w:rsidP="009C396C">
      <w:pPr>
        <w:rPr>
          <w:b/>
          <w:sz w:val="32"/>
        </w:rPr>
      </w:pPr>
      <w:r w:rsidRPr="009C396C">
        <w:rPr>
          <w:b/>
          <w:sz w:val="32"/>
        </w:rPr>
        <w:t>Bujność. Atlas nieskończonych możliwości.</w:t>
      </w:r>
    </w:p>
    <w:p w:rsidR="009C396C" w:rsidRDefault="009C396C" w:rsidP="009C396C">
      <w:pPr>
        <w:rPr>
          <w:sz w:val="24"/>
        </w:rPr>
      </w:pPr>
      <w:r>
        <w:rPr>
          <w:sz w:val="24"/>
        </w:rPr>
        <w:t xml:space="preserve">Wystawa z okazji 20-lecia </w:t>
      </w:r>
      <w:r w:rsidR="009800AB">
        <w:rPr>
          <w:sz w:val="24"/>
        </w:rPr>
        <w:t xml:space="preserve">konkursu </w:t>
      </w:r>
      <w:bookmarkStart w:id="0" w:name="_GoBack"/>
      <w:bookmarkEnd w:id="0"/>
      <w:r>
        <w:rPr>
          <w:sz w:val="24"/>
        </w:rPr>
        <w:t>Artystyczna</w:t>
      </w:r>
      <w:r w:rsidRPr="009C396C">
        <w:rPr>
          <w:sz w:val="24"/>
        </w:rPr>
        <w:t xml:space="preserve"> Podróż Hestii</w:t>
      </w:r>
      <w:r>
        <w:rPr>
          <w:sz w:val="24"/>
        </w:rPr>
        <w:br/>
        <w:t>PGS w Sopocie 29.09.2022 - 8.01.2023</w:t>
      </w:r>
    </w:p>
    <w:p w:rsidR="009C396C" w:rsidRPr="009C396C" w:rsidRDefault="009C396C" w:rsidP="009C396C">
      <w:pPr>
        <w:rPr>
          <w:sz w:val="24"/>
        </w:rPr>
      </w:pPr>
    </w:p>
    <w:p w:rsidR="009C396C" w:rsidRPr="009C396C" w:rsidRDefault="009C396C" w:rsidP="009C396C">
      <w:pPr>
        <w:ind w:left="567"/>
        <w:rPr>
          <w:i/>
          <w:sz w:val="24"/>
        </w:rPr>
      </w:pPr>
      <w:r>
        <w:rPr>
          <w:i/>
          <w:sz w:val="24"/>
        </w:rPr>
        <w:t>„</w:t>
      </w:r>
      <w:r w:rsidRPr="009C396C">
        <w:rPr>
          <w:i/>
          <w:sz w:val="24"/>
        </w:rPr>
        <w:t>Atlas ledwie składa się ze stron w zwyczajnym sensie tego słowa: raczej z tablic, plansz, gdzie są rozmieszczone obrazy, plansz, na które spoglądamy w konkretnym celu lub które swobodnie kartkujemy, pozwalając dryfować naszej chęci dowiedzenia się od obrazu do obrazu, od planszy do planszy. (…) zazwyczaj czynimy z atlasu użytek, który łączy w sobie te dwa z pozoru tak odmienne gesty: otwieramy go zrazu po to, by poszukać w nim jakiejś konkretnej informacji, a kiedy już ją uzyskamy, to niekoniecznie odkładamy atlas, lecz nadal przemierzamy jego rozwidlenia w tę i we w tę – zbiór plansz zamykamy dopiero po tym, jak przez pewien czas wędrowaliśmy po omacku, bez jasno określonego celu, po jego lesie, jego labiryncie, jego skarbcu.</w:t>
      </w:r>
    </w:p>
    <w:p w:rsidR="009C396C" w:rsidRPr="009C396C" w:rsidRDefault="009C396C" w:rsidP="009C396C">
      <w:pPr>
        <w:ind w:left="567"/>
        <w:rPr>
          <w:i/>
          <w:sz w:val="24"/>
        </w:rPr>
      </w:pPr>
      <w:r w:rsidRPr="009C396C">
        <w:rPr>
          <w:i/>
          <w:sz w:val="24"/>
        </w:rPr>
        <w:t>(…) Atlas, z pozoru użytkowy i niegroźny, mógłby się okazać- jeśli uważnie mu się przyjrzeć – przedmiotem niejako dwulicowym, niebezpiecznym, a nawet wybuchowym, choć niewyczerpanie hojnym. Jednym słowem – k o p a l n i ą.</w:t>
      </w:r>
      <w:r>
        <w:rPr>
          <w:i/>
          <w:sz w:val="24"/>
        </w:rPr>
        <w:t>”</w:t>
      </w:r>
    </w:p>
    <w:p w:rsidR="009C396C" w:rsidRPr="009C396C" w:rsidRDefault="009C396C" w:rsidP="009C396C">
      <w:pPr>
        <w:ind w:left="567"/>
        <w:rPr>
          <w:sz w:val="24"/>
        </w:rPr>
      </w:pPr>
      <w:r w:rsidRPr="009C396C">
        <w:rPr>
          <w:sz w:val="24"/>
        </w:rPr>
        <w:t xml:space="preserve">Georges </w:t>
      </w:r>
      <w:proofErr w:type="spellStart"/>
      <w:r w:rsidRPr="009C396C">
        <w:rPr>
          <w:sz w:val="24"/>
        </w:rPr>
        <w:t>Didi</w:t>
      </w:r>
      <w:proofErr w:type="spellEnd"/>
      <w:r w:rsidRPr="009C396C">
        <w:rPr>
          <w:sz w:val="24"/>
        </w:rPr>
        <w:t xml:space="preserve">–Huberman, </w:t>
      </w:r>
      <w:r>
        <w:rPr>
          <w:sz w:val="24"/>
        </w:rPr>
        <w:t>„</w:t>
      </w:r>
      <w:r w:rsidRPr="009C396C">
        <w:rPr>
          <w:sz w:val="24"/>
        </w:rPr>
        <w:t>Atlas albo rad</w:t>
      </w:r>
      <w:r>
        <w:rPr>
          <w:sz w:val="24"/>
        </w:rPr>
        <w:t>osna wiedza podszyta niepokojem”</w:t>
      </w:r>
    </w:p>
    <w:p w:rsidR="009C396C" w:rsidRPr="009C396C" w:rsidRDefault="009C396C" w:rsidP="009C396C">
      <w:pPr>
        <w:rPr>
          <w:sz w:val="24"/>
        </w:rPr>
      </w:pPr>
    </w:p>
    <w:p w:rsidR="009C396C" w:rsidRPr="009C396C" w:rsidRDefault="009C396C" w:rsidP="009C396C">
      <w:pPr>
        <w:jc w:val="both"/>
        <w:rPr>
          <w:sz w:val="24"/>
        </w:rPr>
      </w:pPr>
      <w:r w:rsidRPr="009C396C">
        <w:rPr>
          <w:sz w:val="24"/>
        </w:rPr>
        <w:t xml:space="preserve">Jak opowiedzieć 20 lat konkursu Artystyczna Podróż Hestii? Przywołując nazwiska i tytuły dzieł? Czytając opinie i krytyczne uwagi czy może dzieląc zachwyty i uniesienia? Może poprzez liczby? Składy jury? Miejsca wystaw? Listę laureatów i laureatek? A może finalistów i finalistek? Jak zbudować przestrzeń, która pomieści i wspomnienia, i plany na przyszłość? </w:t>
      </w:r>
    </w:p>
    <w:p w:rsidR="009C396C" w:rsidRPr="009C396C" w:rsidRDefault="009C396C" w:rsidP="009C396C">
      <w:pPr>
        <w:jc w:val="both"/>
        <w:rPr>
          <w:sz w:val="24"/>
        </w:rPr>
      </w:pPr>
      <w:r w:rsidRPr="009C396C">
        <w:rPr>
          <w:sz w:val="24"/>
        </w:rPr>
        <w:t xml:space="preserve">Opowiadamy ten czas posługując się pojęciem atlasu, przywołanego przez </w:t>
      </w:r>
      <w:proofErr w:type="spellStart"/>
      <w:r w:rsidRPr="009C396C">
        <w:rPr>
          <w:sz w:val="24"/>
        </w:rPr>
        <w:t>Georgesa</w:t>
      </w:r>
      <w:proofErr w:type="spellEnd"/>
      <w:r w:rsidRPr="009C396C">
        <w:rPr>
          <w:sz w:val="24"/>
        </w:rPr>
        <w:t xml:space="preserve"> </w:t>
      </w:r>
      <w:proofErr w:type="spellStart"/>
      <w:r w:rsidRPr="009C396C">
        <w:rPr>
          <w:sz w:val="24"/>
        </w:rPr>
        <w:t>Didi</w:t>
      </w:r>
      <w:proofErr w:type="spellEnd"/>
      <w:r w:rsidRPr="009C396C">
        <w:rPr>
          <w:sz w:val="24"/>
        </w:rPr>
        <w:t>–Hubermana, który sięga po tę „wizualną formę wiedzy lub uczoną formę widzenia“ śledząc „niewyczerpane sposoby odczytywania świata”. Przywołujemy także pojęcie „bujności“, do którego chętnie w ostatnich latach sięgamy, starając się dotknąć bogactwa jego znaczenia. Mieści ono w sobie nie tylko młodość  obecną w naszym przedsięwzięciu, ale też gwałtowny wzrost zainteresowania młodą sztuką w ciągu ostatnich 20 lat. A także – a może przede wszystkim – potencjał, nieskończone poszukiwania, rozkwit i rozwój najmłodszej generacji artystów i artystek.</w:t>
      </w:r>
    </w:p>
    <w:p w:rsidR="009C396C" w:rsidRPr="009C396C" w:rsidRDefault="009C396C" w:rsidP="009C396C">
      <w:pPr>
        <w:jc w:val="both"/>
        <w:rPr>
          <w:sz w:val="24"/>
        </w:rPr>
      </w:pPr>
      <w:r w:rsidRPr="009C396C">
        <w:rPr>
          <w:sz w:val="24"/>
        </w:rPr>
        <w:t xml:space="preserve">20 lat konkursu to tysiące artystów i artystek, z których setki zostało wyróżnionych w finałach, kilkudziesięciu nagrodzonych. Tworzą wspólnie rodzaj instalacji będącej montażem różnorodnych rzeczy, miejsc i czasów, o którym pisze </w:t>
      </w:r>
      <w:proofErr w:type="spellStart"/>
      <w:r w:rsidRPr="009C396C">
        <w:rPr>
          <w:sz w:val="24"/>
        </w:rPr>
        <w:t>Didi</w:t>
      </w:r>
      <w:proofErr w:type="spellEnd"/>
      <w:r w:rsidRPr="009C396C">
        <w:rPr>
          <w:sz w:val="24"/>
        </w:rPr>
        <w:t xml:space="preserve">–Huberman. Przybywali z różnych miast i akademii, z różnym doświadczeniem, wiedzą i praktyką artystyczną. Spotykali się z innymi artystami, krytykami i kuratorami. Wreszcie wyruszali w dalszą własną podróż. Te podróże jak i wydarzenia konkursowe – wybory, rozmowy, wystawy, nagrody i wyróżnienia, sukcesy i porażki, tworzą właśnie atlas możliwości, pozwalający po latach – teraz i w przyszłości – wracać do map zapamiętanych, rozpoznawać kierunki, widzieć konteksty, czasami przystanąć by móc inaczej spojrzeć na wybrany fragment. Tylko z pozoru konkurs zamknięty w numerowanych edycjach jest odwzorowaniem już skończonej całości. Jest tylko narzędziem, widoczną nicią splatającą twórcze poszukiwania </w:t>
      </w:r>
      <w:r w:rsidRPr="009C396C">
        <w:rPr>
          <w:sz w:val="24"/>
        </w:rPr>
        <w:lastRenderedPageBreak/>
        <w:t>najmłodszej polskiej generacji artystów i artystek, pozwalającą na pobieranie próbek zjawisk, które interesowały i interesują ich, a które mogą zainteresować również nas.</w:t>
      </w:r>
    </w:p>
    <w:p w:rsidR="009800AB" w:rsidRDefault="009C396C" w:rsidP="009C396C">
      <w:pPr>
        <w:jc w:val="both"/>
        <w:rPr>
          <w:sz w:val="24"/>
        </w:rPr>
      </w:pPr>
      <w:r w:rsidRPr="009C396C">
        <w:rPr>
          <w:sz w:val="24"/>
        </w:rPr>
        <w:t xml:space="preserve">Pokazujemy wielorakość, nie po to by streszczać konkurs, katalogować go lub wyczerpywać w postaci list i zestawień. Ale po to, aby jeszcze raz być blisko odważnych, niepokornych, poszukujących i łamiących schematy. Tych, dla których tematy tożsamości, problemy społeczne, badanie związków sztuki z życiem, tajemnice kondycji ludzkiej, </w:t>
      </w:r>
      <w:proofErr w:type="spellStart"/>
      <w:r w:rsidRPr="009C396C">
        <w:rPr>
          <w:sz w:val="24"/>
        </w:rPr>
        <w:t>popędów</w:t>
      </w:r>
      <w:proofErr w:type="spellEnd"/>
      <w:r w:rsidRPr="009C396C">
        <w:rPr>
          <w:sz w:val="24"/>
        </w:rPr>
        <w:t xml:space="preserve"> </w:t>
      </w:r>
      <w:proofErr w:type="spellStart"/>
      <w:r w:rsidRPr="009C396C">
        <w:rPr>
          <w:sz w:val="24"/>
        </w:rPr>
        <w:t>libidalnych</w:t>
      </w:r>
      <w:proofErr w:type="spellEnd"/>
      <w:r w:rsidRPr="009C396C">
        <w:rPr>
          <w:sz w:val="24"/>
        </w:rPr>
        <w:t xml:space="preserve">, </w:t>
      </w:r>
      <w:proofErr w:type="spellStart"/>
      <w:r w:rsidRPr="009C396C">
        <w:rPr>
          <w:sz w:val="24"/>
        </w:rPr>
        <w:t>kruchości</w:t>
      </w:r>
      <w:proofErr w:type="spellEnd"/>
      <w:r w:rsidRPr="009C396C">
        <w:rPr>
          <w:sz w:val="24"/>
        </w:rPr>
        <w:t xml:space="preserve"> </w:t>
      </w:r>
      <w:proofErr w:type="spellStart"/>
      <w:r w:rsidRPr="009C396C">
        <w:rPr>
          <w:sz w:val="24"/>
        </w:rPr>
        <w:t>życia</w:t>
      </w:r>
      <w:proofErr w:type="spellEnd"/>
      <w:r w:rsidRPr="009C396C">
        <w:rPr>
          <w:sz w:val="24"/>
        </w:rPr>
        <w:t xml:space="preserve">, czy </w:t>
      </w:r>
      <w:proofErr w:type="spellStart"/>
      <w:r w:rsidRPr="009C396C">
        <w:rPr>
          <w:sz w:val="24"/>
        </w:rPr>
        <w:t>postapokaliptycznej</w:t>
      </w:r>
      <w:proofErr w:type="spellEnd"/>
      <w:r w:rsidRPr="009C396C">
        <w:rPr>
          <w:sz w:val="24"/>
        </w:rPr>
        <w:t xml:space="preserve"> wizji </w:t>
      </w:r>
      <w:proofErr w:type="spellStart"/>
      <w:r w:rsidRPr="009C396C">
        <w:rPr>
          <w:sz w:val="24"/>
        </w:rPr>
        <w:t>świata</w:t>
      </w:r>
      <w:proofErr w:type="spellEnd"/>
      <w:r w:rsidRPr="009C396C">
        <w:rPr>
          <w:sz w:val="24"/>
        </w:rPr>
        <w:t xml:space="preserve"> były przedmiotem namysłu twórczego .</w:t>
      </w:r>
    </w:p>
    <w:p w:rsidR="009C396C" w:rsidRPr="009C396C" w:rsidRDefault="009C396C" w:rsidP="009C396C">
      <w:pPr>
        <w:jc w:val="both"/>
        <w:rPr>
          <w:sz w:val="24"/>
        </w:rPr>
      </w:pPr>
      <w:r w:rsidRPr="009C396C">
        <w:rPr>
          <w:sz w:val="24"/>
        </w:rPr>
        <w:t xml:space="preserve">Nasz subiektywny atlas składa się z wybranych prac – uczestników i uczestniczek konkursu – w różnych latach jego trwania. Jednak wybrane prace nie zawsze są pracami konkursowymi, czasami są późniejszymi przykładami praktyk artystycznych. Przez 20 lat szukaliśmy różnych głosów i różnych kontekstów, konkurs zmieniał się wraz ze zmieniającą się rzeczywistością. I te konteksty, odpowiednie w danym momencie, kwestionowane były i będą w nowej rzeczywistości. Żaden konkurs nie uczyni nikogo lepszym. Przez tych 20 lat dawaliśmy młodym twórcom coraz bardziej słyszalny głos. Wszystko po to, żeby lepiej i pełniej rozumieć sztukę, a przez to lepiej zrozumieć otaczający nas świat w całej jego skomplikowanej różnorodności. Artyści i artystki zawsze będą szukać, eksperymentować, buntować się, komunikując najistotniejsze problemy i najintymniejsze ludzkie tajemnice. </w:t>
      </w:r>
    </w:p>
    <w:p w:rsidR="009C396C" w:rsidRDefault="009C396C" w:rsidP="009C396C">
      <w:pPr>
        <w:jc w:val="both"/>
        <w:rPr>
          <w:sz w:val="24"/>
        </w:rPr>
      </w:pPr>
      <w:r w:rsidRPr="009C396C">
        <w:rPr>
          <w:sz w:val="24"/>
        </w:rPr>
        <w:t>A my nadal będziemy czerpać z tej bujności.</w:t>
      </w:r>
    </w:p>
    <w:p w:rsidR="009C396C" w:rsidRPr="009C396C" w:rsidRDefault="009C396C" w:rsidP="009C396C">
      <w:pPr>
        <w:rPr>
          <w:sz w:val="24"/>
        </w:rPr>
      </w:pPr>
    </w:p>
    <w:p w:rsidR="009C396C" w:rsidRPr="009C396C" w:rsidRDefault="009C396C" w:rsidP="009C396C">
      <w:pPr>
        <w:ind w:left="567"/>
        <w:rPr>
          <w:i/>
          <w:sz w:val="24"/>
        </w:rPr>
      </w:pPr>
      <w:r w:rsidRPr="009C396C">
        <w:rPr>
          <w:i/>
          <w:sz w:val="24"/>
        </w:rPr>
        <w:t>„….Biorą nas za kogoś innego – to znaczy że my sami rośniemy, wciąż się zmieniamy, przepoczwarzamy się, z każdą wiosną zrzucamy starą skórę, jesteśmy coraz młodsi, coraz bliżsi przyszłości, coraz wyżsi, coraz silniejsi, zapuszczamy korzenie coraz głębiej – na głębokość zła – a jednocześnie coraz czulej, coraz mocniej bierzemy w ramiona niebo i wszystkimi gałęziami, każdym listkiem, coraz chciwiej chłoniemy jego światłość. Rośniemy jak drzewa – trudno to zrozumieć, bo trudno zrozumieć wszelkie życie! – nie jedną stroną, ale wszędzie, nie w jednym kierunku, ale naraz w górę, na zewnątrz, i do wewnątrz, w dół…”</w:t>
      </w:r>
    </w:p>
    <w:p w:rsidR="009C396C" w:rsidRPr="009C396C" w:rsidRDefault="009C396C" w:rsidP="009C396C">
      <w:pPr>
        <w:ind w:left="567"/>
        <w:rPr>
          <w:sz w:val="24"/>
        </w:rPr>
      </w:pPr>
      <w:r w:rsidRPr="009C396C">
        <w:rPr>
          <w:sz w:val="24"/>
        </w:rPr>
        <w:t>Nietzsche, Wiedza Radosna. („My, nieustraszeni”, księga V)</w:t>
      </w:r>
    </w:p>
    <w:p w:rsidR="009C396C" w:rsidRDefault="009C396C" w:rsidP="009C396C">
      <w:pPr>
        <w:pBdr>
          <w:bottom w:val="single" w:sz="6" w:space="1" w:color="auto"/>
        </w:pBdr>
        <w:rPr>
          <w:sz w:val="24"/>
        </w:rPr>
      </w:pPr>
    </w:p>
    <w:p w:rsidR="009C396C" w:rsidRDefault="009C396C" w:rsidP="009C396C">
      <w:pPr>
        <w:rPr>
          <w:b/>
          <w:sz w:val="24"/>
        </w:rPr>
      </w:pPr>
    </w:p>
    <w:p w:rsidR="009C396C" w:rsidRPr="009C396C" w:rsidRDefault="009C396C" w:rsidP="009C396C">
      <w:pPr>
        <w:rPr>
          <w:sz w:val="24"/>
        </w:rPr>
      </w:pPr>
      <w:r w:rsidRPr="009C396C">
        <w:rPr>
          <w:b/>
          <w:sz w:val="24"/>
        </w:rPr>
        <w:t>Konkurs Artystyczna Podróż Hestii</w:t>
      </w:r>
      <w:r w:rsidRPr="009C396C">
        <w:rPr>
          <w:sz w:val="24"/>
        </w:rPr>
        <w:t xml:space="preserve"> powołany został do życia w 2002 roku zgodnie z ideą Piotra M. Śliwickiego, prezesa Grupy ERGO Hestia, mecenasa sztuki. Poprzez swoje działania sopocki ubezpieczyciel upowszechnia ideę mecenatu artystycznego w środowisku biznesowym. Fundacja i prowadzony przez nią program daje młodym artystom możliwość pokazania się w polskim oraz międzynarodowym środowisku artystycznym, a także jest silną inspiracją do dalszego rozwoju.</w:t>
      </w:r>
    </w:p>
    <w:p w:rsidR="009C396C" w:rsidRPr="009C396C" w:rsidRDefault="009C396C" w:rsidP="009C396C">
      <w:pPr>
        <w:rPr>
          <w:sz w:val="24"/>
        </w:rPr>
      </w:pPr>
      <w:r w:rsidRPr="009C396C">
        <w:rPr>
          <w:sz w:val="24"/>
        </w:rPr>
        <w:t xml:space="preserve">W pierwszych latach konkurs realizowano w porozumieniu z Akademią Sztuk Pięknych w Gdańsku, a od roku 2009 ERGO Hestia współpracowała ze wszystkimi uczelniami artystycznymi działającymi na terenie Polski. Fundacja Artystyczna Podróż Hestii powołana została w 2014 roku. </w:t>
      </w:r>
    </w:p>
    <w:p w:rsidR="009C396C" w:rsidRPr="009C396C" w:rsidRDefault="009C396C" w:rsidP="009C396C">
      <w:pPr>
        <w:rPr>
          <w:sz w:val="24"/>
        </w:rPr>
      </w:pPr>
      <w:r w:rsidRPr="009C396C">
        <w:rPr>
          <w:sz w:val="24"/>
        </w:rPr>
        <w:lastRenderedPageBreak/>
        <w:t xml:space="preserve">Przez 20 lat trwania konkursu APH, jego laureaci i laureatki korzystali z możliwości, jaką dają rezydencje artystyczne w renomowanych ośrodkach: </w:t>
      </w:r>
      <w:proofErr w:type="spellStart"/>
      <w:r w:rsidRPr="009C396C">
        <w:rPr>
          <w:sz w:val="24"/>
        </w:rPr>
        <w:t>Residency</w:t>
      </w:r>
      <w:proofErr w:type="spellEnd"/>
      <w:r w:rsidRPr="009C396C">
        <w:rPr>
          <w:sz w:val="24"/>
        </w:rPr>
        <w:t xml:space="preserve"> </w:t>
      </w:r>
      <w:proofErr w:type="spellStart"/>
      <w:r w:rsidRPr="009C396C">
        <w:rPr>
          <w:sz w:val="24"/>
        </w:rPr>
        <w:t>Unlimited</w:t>
      </w:r>
      <w:proofErr w:type="spellEnd"/>
      <w:r w:rsidRPr="009C396C">
        <w:rPr>
          <w:sz w:val="24"/>
        </w:rPr>
        <w:t xml:space="preserve"> w Nowym Jorku, </w:t>
      </w:r>
      <w:proofErr w:type="spellStart"/>
      <w:r w:rsidRPr="009C396C">
        <w:rPr>
          <w:sz w:val="24"/>
        </w:rPr>
        <w:t>Politecnica</w:t>
      </w:r>
      <w:proofErr w:type="spellEnd"/>
      <w:r w:rsidRPr="009C396C">
        <w:rPr>
          <w:sz w:val="24"/>
        </w:rPr>
        <w:t xml:space="preserve"> di Valencia (w latach 2008-2017) i Rupert w Wilnie.</w:t>
      </w:r>
    </w:p>
    <w:p w:rsidR="009C396C" w:rsidRPr="009C396C" w:rsidRDefault="009C396C" w:rsidP="009C396C">
      <w:pPr>
        <w:rPr>
          <w:sz w:val="24"/>
        </w:rPr>
      </w:pPr>
      <w:r w:rsidRPr="009C396C">
        <w:rPr>
          <w:sz w:val="24"/>
        </w:rPr>
        <w:t>Na uwagę zasługuje też przyznawana uczestnikom i uczestniczkom konkursu (od 2014 roku) Nagroda Specjalna Prezesa Grupy ERGO Hestia, Piotra M. Śliwickiego (Fundator Nagrody Specjalnej). Nagroda obejmuje współpracę przy projekcie koncepcji wizualnej Raportu Rocznego Grupy ERGO Hestia na warunkach komercyjnych.</w:t>
      </w:r>
    </w:p>
    <w:p w:rsidR="009C396C" w:rsidRPr="009C396C" w:rsidRDefault="009C396C" w:rsidP="009C396C">
      <w:pPr>
        <w:pStyle w:val="Akapitzlist"/>
        <w:numPr>
          <w:ilvl w:val="0"/>
          <w:numId w:val="1"/>
        </w:numPr>
        <w:rPr>
          <w:sz w:val="24"/>
        </w:rPr>
      </w:pPr>
      <w:r w:rsidRPr="009C396C">
        <w:rPr>
          <w:sz w:val="24"/>
        </w:rPr>
        <w:t xml:space="preserve">56 laureatów konkursu </w:t>
      </w:r>
    </w:p>
    <w:p w:rsidR="009C396C" w:rsidRPr="009C396C" w:rsidRDefault="009C396C" w:rsidP="009C396C">
      <w:pPr>
        <w:pStyle w:val="Akapitzlist"/>
        <w:numPr>
          <w:ilvl w:val="0"/>
          <w:numId w:val="1"/>
        </w:numPr>
        <w:rPr>
          <w:sz w:val="24"/>
        </w:rPr>
      </w:pPr>
      <w:r w:rsidRPr="009C396C">
        <w:rPr>
          <w:sz w:val="24"/>
        </w:rPr>
        <w:t>75 prac w kolekcji ERGO Hestii</w:t>
      </w:r>
    </w:p>
    <w:p w:rsidR="009C396C" w:rsidRPr="009C396C" w:rsidRDefault="009C396C" w:rsidP="009C396C">
      <w:pPr>
        <w:pStyle w:val="Akapitzlist"/>
        <w:numPr>
          <w:ilvl w:val="0"/>
          <w:numId w:val="1"/>
        </w:numPr>
        <w:rPr>
          <w:sz w:val="24"/>
        </w:rPr>
      </w:pPr>
      <w:r w:rsidRPr="009C396C">
        <w:rPr>
          <w:sz w:val="24"/>
        </w:rPr>
        <w:t>3210 zgłoszeń w latach 2002-2021</w:t>
      </w:r>
    </w:p>
    <w:p w:rsidR="009C396C" w:rsidRPr="009C396C" w:rsidRDefault="009C396C" w:rsidP="009C396C">
      <w:pPr>
        <w:pStyle w:val="Akapitzlist"/>
        <w:numPr>
          <w:ilvl w:val="0"/>
          <w:numId w:val="1"/>
        </w:numPr>
        <w:rPr>
          <w:sz w:val="24"/>
        </w:rPr>
      </w:pPr>
      <w:r w:rsidRPr="009C396C">
        <w:rPr>
          <w:sz w:val="24"/>
        </w:rPr>
        <w:t>31 rezydencji(w Nowym Jorku, Walencji, Wilnie, dane zawierają także 4 rezydencje artystów hiszpańskich w Polsce)</w:t>
      </w:r>
    </w:p>
    <w:p w:rsidR="009C396C" w:rsidRPr="009C396C" w:rsidRDefault="009C396C" w:rsidP="009C396C">
      <w:pPr>
        <w:pStyle w:val="Akapitzlist"/>
        <w:numPr>
          <w:ilvl w:val="0"/>
          <w:numId w:val="1"/>
        </w:numPr>
        <w:rPr>
          <w:sz w:val="24"/>
        </w:rPr>
      </w:pPr>
      <w:r w:rsidRPr="009C396C">
        <w:rPr>
          <w:sz w:val="24"/>
        </w:rPr>
        <w:t>104 wystawy w 28 miastach w całej Polsce</w:t>
      </w:r>
    </w:p>
    <w:p w:rsidR="009C396C" w:rsidRPr="009C396C" w:rsidRDefault="009C396C" w:rsidP="009C396C">
      <w:pPr>
        <w:pStyle w:val="Akapitzlist"/>
        <w:numPr>
          <w:ilvl w:val="0"/>
          <w:numId w:val="1"/>
        </w:numPr>
        <w:rPr>
          <w:sz w:val="24"/>
        </w:rPr>
      </w:pPr>
      <w:r w:rsidRPr="009C396C">
        <w:rPr>
          <w:sz w:val="24"/>
        </w:rPr>
        <w:t>33 wystawy w Pawilonie Sztuki w Warszawie</w:t>
      </w:r>
    </w:p>
    <w:p w:rsidR="009C396C" w:rsidRPr="009C396C" w:rsidRDefault="009C396C" w:rsidP="009C396C">
      <w:pPr>
        <w:pStyle w:val="Akapitzlist"/>
        <w:numPr>
          <w:ilvl w:val="0"/>
          <w:numId w:val="1"/>
        </w:numPr>
        <w:rPr>
          <w:sz w:val="24"/>
        </w:rPr>
      </w:pPr>
      <w:r w:rsidRPr="009C396C">
        <w:rPr>
          <w:sz w:val="24"/>
        </w:rPr>
        <w:t>Ok. 43 000 osób odwiedziło wystawy organizowane przez Fundację od 2013 roku</w:t>
      </w:r>
    </w:p>
    <w:p w:rsidR="009C396C" w:rsidRPr="009C396C" w:rsidRDefault="009C396C" w:rsidP="009C396C">
      <w:pPr>
        <w:rPr>
          <w:sz w:val="24"/>
        </w:rPr>
      </w:pPr>
    </w:p>
    <w:p w:rsidR="00927923" w:rsidRPr="009C396C" w:rsidRDefault="00DB26B1">
      <w:pPr>
        <w:rPr>
          <w:sz w:val="24"/>
        </w:rPr>
      </w:pPr>
    </w:p>
    <w:sectPr w:rsidR="00927923" w:rsidRPr="009C396C" w:rsidSect="009C396C">
      <w:footerReference w:type="default" r:id="rId7"/>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B1" w:rsidRDefault="00DB26B1" w:rsidP="009C396C">
      <w:pPr>
        <w:spacing w:after="0" w:line="240" w:lineRule="auto"/>
      </w:pPr>
      <w:r>
        <w:separator/>
      </w:r>
    </w:p>
  </w:endnote>
  <w:endnote w:type="continuationSeparator" w:id="0">
    <w:p w:rsidR="00DB26B1" w:rsidRDefault="00DB26B1" w:rsidP="009C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8"/>
      </w:rPr>
      <w:id w:val="-2087053712"/>
      <w:docPartObj>
        <w:docPartGallery w:val="Page Numbers (Bottom of Page)"/>
        <w:docPartUnique/>
      </w:docPartObj>
    </w:sdtPr>
    <w:sdtEndPr/>
    <w:sdtContent>
      <w:p w:rsidR="009C396C" w:rsidRDefault="009C396C">
        <w:pPr>
          <w:pStyle w:val="Stopka"/>
          <w:jc w:val="right"/>
          <w:rPr>
            <w:rFonts w:asciiTheme="majorHAnsi" w:eastAsiaTheme="majorEastAsia" w:hAnsiTheme="majorHAnsi" w:cstheme="majorBidi"/>
            <w:sz w:val="20"/>
            <w:szCs w:val="28"/>
          </w:rPr>
        </w:pPr>
      </w:p>
      <w:p w:rsidR="009C396C" w:rsidRPr="009C396C" w:rsidRDefault="009C396C">
        <w:pPr>
          <w:pStyle w:val="Stopka"/>
          <w:jc w:val="right"/>
          <w:rPr>
            <w:rFonts w:asciiTheme="majorHAnsi" w:eastAsiaTheme="majorEastAsia" w:hAnsiTheme="majorHAnsi" w:cstheme="majorBidi"/>
            <w:sz w:val="20"/>
            <w:szCs w:val="28"/>
          </w:rPr>
        </w:pPr>
        <w:r w:rsidRPr="009C396C">
          <w:rPr>
            <w:rFonts w:asciiTheme="majorHAnsi" w:eastAsiaTheme="majorEastAsia" w:hAnsiTheme="majorHAnsi" w:cstheme="majorBidi"/>
            <w:sz w:val="20"/>
            <w:szCs w:val="28"/>
          </w:rPr>
          <w:t xml:space="preserve">str. </w:t>
        </w:r>
        <w:r w:rsidRPr="009C396C">
          <w:rPr>
            <w:rFonts w:asciiTheme="minorHAnsi" w:eastAsiaTheme="minorEastAsia" w:hAnsiTheme="minorHAnsi" w:cs="Times New Roman"/>
            <w:sz w:val="16"/>
          </w:rPr>
          <w:fldChar w:fldCharType="begin"/>
        </w:r>
        <w:r w:rsidRPr="009C396C">
          <w:rPr>
            <w:sz w:val="16"/>
          </w:rPr>
          <w:instrText>PAGE    \* MERGEFORMAT</w:instrText>
        </w:r>
        <w:r w:rsidRPr="009C396C">
          <w:rPr>
            <w:rFonts w:asciiTheme="minorHAnsi" w:eastAsiaTheme="minorEastAsia" w:hAnsiTheme="minorHAnsi" w:cs="Times New Roman"/>
            <w:sz w:val="16"/>
          </w:rPr>
          <w:fldChar w:fldCharType="separate"/>
        </w:r>
        <w:r w:rsidR="009800AB" w:rsidRPr="009800AB">
          <w:rPr>
            <w:rFonts w:asciiTheme="majorHAnsi" w:eastAsiaTheme="majorEastAsia" w:hAnsiTheme="majorHAnsi" w:cstheme="majorBidi"/>
            <w:noProof/>
            <w:sz w:val="20"/>
            <w:szCs w:val="28"/>
          </w:rPr>
          <w:t>3</w:t>
        </w:r>
        <w:r w:rsidRPr="009C396C">
          <w:rPr>
            <w:rFonts w:asciiTheme="majorHAnsi" w:eastAsiaTheme="majorEastAsia" w:hAnsiTheme="majorHAnsi" w:cstheme="majorBidi"/>
            <w:sz w:val="20"/>
            <w:szCs w:val="28"/>
          </w:rPr>
          <w:fldChar w:fldCharType="end"/>
        </w:r>
      </w:p>
    </w:sdtContent>
  </w:sdt>
  <w:p w:rsidR="00BC62C4" w:rsidRDefault="00DB26B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B1" w:rsidRDefault="00DB26B1" w:rsidP="009C396C">
      <w:pPr>
        <w:spacing w:after="0" w:line="240" w:lineRule="auto"/>
      </w:pPr>
      <w:r>
        <w:separator/>
      </w:r>
    </w:p>
  </w:footnote>
  <w:footnote w:type="continuationSeparator" w:id="0">
    <w:p w:rsidR="00DB26B1" w:rsidRDefault="00DB26B1" w:rsidP="009C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5434A"/>
    <w:multiLevelType w:val="hybridMultilevel"/>
    <w:tmpl w:val="6180F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6C"/>
    <w:rsid w:val="00662136"/>
    <w:rsid w:val="006B676B"/>
    <w:rsid w:val="009800AB"/>
    <w:rsid w:val="009C396C"/>
    <w:rsid w:val="00AE1588"/>
    <w:rsid w:val="00B6666C"/>
    <w:rsid w:val="00DB26B1"/>
    <w:rsid w:val="00F75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5ED5E-22E1-4771-90C4-DD9EB1B4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96C"/>
    <w:pPr>
      <w:pBdr>
        <w:top w:val="nil"/>
        <w:left w:val="nil"/>
        <w:bottom w:val="nil"/>
        <w:right w:val="nil"/>
        <w:between w:val="nil"/>
        <w:bar w:val="nil"/>
      </w:pBdr>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Footer">
    <w:name w:val="Header &amp; Footer"/>
    <w:rsid w:val="009C396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paragraph" w:styleId="Akapitzlist">
    <w:name w:val="List Paragraph"/>
    <w:basedOn w:val="Normalny"/>
    <w:uiPriority w:val="34"/>
    <w:qFormat/>
    <w:rsid w:val="009C396C"/>
    <w:pPr>
      <w:ind w:left="720"/>
      <w:contextualSpacing/>
    </w:pPr>
  </w:style>
  <w:style w:type="paragraph" w:styleId="Nagwek">
    <w:name w:val="header"/>
    <w:basedOn w:val="Normalny"/>
    <w:link w:val="NagwekZnak"/>
    <w:uiPriority w:val="99"/>
    <w:unhideWhenUsed/>
    <w:rsid w:val="009C39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396C"/>
    <w:rPr>
      <w:rFonts w:ascii="Calibri" w:eastAsia="Arial Unicode MS" w:hAnsi="Calibri" w:cs="Arial Unicode MS"/>
      <w:color w:val="000000"/>
      <w:u w:color="000000"/>
      <w:bdr w:val="nil"/>
      <w:lang w:eastAsia="pl-PL"/>
    </w:rPr>
  </w:style>
  <w:style w:type="paragraph" w:styleId="Stopka">
    <w:name w:val="footer"/>
    <w:basedOn w:val="Normalny"/>
    <w:link w:val="StopkaZnak"/>
    <w:uiPriority w:val="99"/>
    <w:unhideWhenUsed/>
    <w:rsid w:val="009C39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396C"/>
    <w:rPr>
      <w:rFonts w:ascii="Calibri" w:eastAsia="Arial Unicode MS" w:hAnsi="Calibri" w:cs="Arial Unicode MS"/>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993</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JARRY</dc:creator>
  <cp:keywords/>
  <dc:description/>
  <cp:lastModifiedBy>JARRY</cp:lastModifiedBy>
  <cp:revision>3</cp:revision>
  <dcterms:created xsi:type="dcterms:W3CDTF">2022-09-20T10:22:00Z</dcterms:created>
  <dcterms:modified xsi:type="dcterms:W3CDTF">2022-09-20T10:30:00Z</dcterms:modified>
</cp:coreProperties>
</file>